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beforeLines="0" w:beforeAutospacing="0" w:after="0" w:afterLines="0" w:afterAutospacing="0"/>
        <w:jc w:val="center"/>
        <w:rPr>
          <w:rFonts w:hint="eastAsia" w:cs="Times New Roman"/>
          <w:b/>
          <w:bCs w:val="0"/>
          <w:color w:val="595959" w:themeColor="text1" w:themeTint="A6"/>
          <w:sz w:val="40"/>
          <w:szCs w:val="40"/>
          <w:lang w:val="en-US" w:eastAsia="zh-CN"/>
          <w14:textFill>
            <w14:solidFill>
              <w14:schemeClr w14:val="tx1">
                <w14:lumMod w14:val="65000"/>
                <w14:lumOff w14:val="35000"/>
              </w14:schemeClr>
            </w14:solidFill>
          </w14:textFill>
        </w:rPr>
      </w:pPr>
      <w:r>
        <w:rPr>
          <w:rFonts w:hint="eastAsia" w:cs="Times New Roman"/>
          <w:b/>
          <w:bCs w:val="0"/>
          <w:color w:val="595959" w:themeColor="text1" w:themeTint="A6"/>
          <w:sz w:val="40"/>
          <w:szCs w:val="40"/>
          <w:lang w:val="en-US" w:eastAsia="zh-CN"/>
          <w14:textFill>
            <w14:solidFill>
              <w14:schemeClr w14:val="tx1">
                <w14:lumMod w14:val="65000"/>
                <w14:lumOff w14:val="35000"/>
              </w14:schemeClr>
            </w14:solidFill>
          </w14:textFill>
        </w:rPr>
        <w:t>车 辆 保 函</w:t>
      </w:r>
    </w:p>
    <w:p>
      <w:pPr>
        <w:pStyle w:val="2"/>
        <w:bidi w:val="0"/>
        <w:spacing w:before="0" w:beforeLines="0" w:beforeAutospacing="0" w:after="0" w:afterLines="0" w:afterAutospacing="0"/>
        <w:jc w:val="center"/>
        <w:rPr>
          <w:rFonts w:hint="eastAsia" w:cs="Times New Roman"/>
          <w:b/>
          <w:bCs w:val="0"/>
          <w:color w:val="595959" w:themeColor="text1" w:themeTint="A6"/>
          <w:sz w:val="28"/>
          <w:szCs w:val="28"/>
          <w:lang w:val="en-US" w:eastAsia="zh-CN"/>
          <w14:textFill>
            <w14:solidFill>
              <w14:schemeClr w14:val="tx1">
                <w14:lumMod w14:val="65000"/>
                <w14:lumOff w14:val="35000"/>
              </w14:schemeClr>
            </w14:solidFill>
          </w14:textFill>
        </w:rPr>
      </w:pPr>
      <w:r>
        <w:rPr>
          <w:rFonts w:hint="eastAsia" w:cs="Times New Roman"/>
          <w:b/>
          <w:bCs w:val="0"/>
          <w:color w:val="595959" w:themeColor="text1" w:themeTint="A6"/>
          <w:sz w:val="28"/>
          <w:szCs w:val="28"/>
          <w:lang w:val="en-US" w:eastAsia="zh-CN"/>
          <w14:textFill>
            <w14:solidFill>
              <w14:schemeClr w14:val="tx1">
                <w14:lumMod w14:val="65000"/>
                <w14:lumOff w14:val="35000"/>
              </w14:schemeClr>
            </w14:solidFill>
          </w14:textFill>
        </w:rPr>
        <w:t xml:space="preserve">L/G for Vehicle </w:t>
      </w:r>
    </w:p>
    <w:p>
      <w:pPr>
        <w:snapToGrid w:val="0"/>
        <w:spacing w:beforeAutospacing="0"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B/L NO.:</w:t>
      </w:r>
    </w:p>
    <w:p>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船名</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航次：</w:t>
      </w:r>
    </w:p>
    <w:p>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中文品名：</w:t>
      </w:r>
      <w:bookmarkStart w:id="0" w:name="_GoBack"/>
      <w:bookmarkEnd w:id="0"/>
    </w:p>
    <w:p>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英文品名：</w:t>
      </w:r>
    </w:p>
    <w:p>
      <w:pPr>
        <w:snapToGrid w:val="0"/>
        <w:spacing w:line="360" w:lineRule="auto"/>
        <w:rPr>
          <w:rFonts w:hint="eastAsia" w:ascii="仿宋" w:hAnsi="仿宋" w:eastAsia="仿宋" w:cs="仿宋"/>
          <w:b/>
          <w:bCs/>
          <w:sz w:val="28"/>
          <w:szCs w:val="28"/>
          <w:lang w:eastAsia="zh-CN"/>
        </w:rPr>
      </w:pPr>
    </w:p>
    <w:p>
      <w:pPr>
        <w:autoSpaceDE w:val="0"/>
        <w:autoSpaceDN w:val="0"/>
        <w:adjustRightInd w:val="0"/>
        <w:snapToGrid w:val="0"/>
        <w:spacing w:beforeAutospacing="0" w:afterAutospacing="0" w:line="240" w:lineRule="auto"/>
        <w:ind w:left="0" w:leftChars="0"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我司保证上述出口货物符合以下条件，若因货物不符合贵司要求不得装载，由此产生的一系列责任风险费用由我司承担。</w:t>
      </w:r>
    </w:p>
    <w:p>
      <w:pPr>
        <w:autoSpaceDE w:val="0"/>
        <w:autoSpaceDN w:val="0"/>
        <w:adjustRightInd w:val="0"/>
        <w:snapToGrid w:val="0"/>
        <w:spacing w:beforeAutospacing="0" w:afterAutospacing="0" w:line="240" w:lineRule="auto"/>
        <w:ind w:left="0" w:leftChars="0" w:firstLine="560" w:firstLineChars="200"/>
        <w:rPr>
          <w:rFonts w:hint="eastAsia" w:ascii="仿宋" w:hAnsi="仿宋" w:eastAsia="仿宋" w:cs="仿宋"/>
          <w:kern w:val="0"/>
          <w:sz w:val="28"/>
          <w:szCs w:val="28"/>
          <w:lang w:eastAsia="zh-CN"/>
        </w:rPr>
      </w:pP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车辆及装备之装易燃液体的油箱是空的且装配的电池有妥善的短路防护；</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由易燃气体驱动的车辆及装备，燃料箱排空，内部正压不得超过2 bar，切断燃料或隔离阀必须妥善的紧闭，且装配的电池有妥善的短路防护；</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车辆及装备仅由湿或干的蓄电池或钠电池驱动时，装配的电池有妥善的短路防护；</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车辆及装备的电池、引擎、燃料电池、压缩气体钢瓶或储存槽及燃料箱不得有明显的泄漏，锂离子或锂金属电池必须符合联合国测试标准手册第III部分38.3节，否则必须有主管机关的认可；</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由易燃液体驱动的车辆及装备，燃料箱装有易燃液体不得超过1/4且不论在任何情况下，不得超过250公升；由易燃液体驱动的车辆，其燃油需符合：A. 闪点为38°C 或以上的易燃液体燃油(柴油)驱动车辆需确保燃料系统无任何燃料泄漏，燃油箱的燃油(易燃液体)不可超过其1/4 且任何时候不可超过250 升，且安装的电池必须有短路措施。B. 燃点低于38℃的易燃液体燃料(汽油)驱动车辆，燃油箱必须为空，且安装的电池必须有防止短路措施；</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由易燃气体驱动的车辆及装备，必须切断燃料，燃料箱阀门必须牢固的紧闭；</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在运输中，装配的电池必须有妥善保护以防止损坏、短路及意外启动的防护；</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运转车辆或装备上所需使用到的危险物品，如灭火器、压缩气体储存槽及安全气囊填充器等，必须妥善的固定在车辆或装备上；</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不含有锂电池；</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sz w:val="28"/>
          <w:szCs w:val="28"/>
          <w:lang w:eastAsia="zh-CN"/>
        </w:rPr>
      </w:pPr>
      <w:r>
        <w:rPr>
          <w:rFonts w:hint="eastAsia" w:ascii="仿宋" w:hAnsi="仿宋" w:eastAsia="仿宋" w:cs="仿宋"/>
          <w:kern w:val="0"/>
          <w:sz w:val="28"/>
          <w:szCs w:val="28"/>
          <w:lang w:eastAsia="zh-CN"/>
        </w:rPr>
        <w:t xml:space="preserve">车辆是全新的。         </w:t>
      </w:r>
    </w:p>
    <w:p>
      <w:pPr>
        <w:pStyle w:val="9"/>
        <w:numPr>
          <w:ilvl w:val="0"/>
          <w:numId w:val="0"/>
        </w:numPr>
        <w:adjustRightInd w:val="0"/>
        <w:snapToGrid w:val="0"/>
        <w:spacing w:before="183" w:beforeLines="50" w:beforeAutospacing="0" w:afterAutospacing="0" w:line="240" w:lineRule="auto"/>
        <w:ind w:leftChars="0"/>
        <w:jc w:val="both"/>
        <w:rPr>
          <w:rFonts w:hint="eastAsia" w:ascii="仿宋" w:hAnsi="仿宋" w:eastAsia="仿宋" w:cs="仿宋"/>
          <w:sz w:val="28"/>
          <w:szCs w:val="28"/>
          <w:lang w:eastAsia="zh-CN"/>
        </w:rPr>
      </w:pPr>
      <w:r>
        <w:rPr>
          <w:rFonts w:hint="eastAsia" w:ascii="仿宋" w:hAnsi="仿宋" w:eastAsia="仿宋" w:cs="仿宋"/>
          <w:kern w:val="0"/>
          <w:sz w:val="28"/>
          <w:szCs w:val="28"/>
          <w:lang w:eastAsia="zh-CN"/>
        </w:rPr>
        <w:t xml:space="preserve">      </w:t>
      </w:r>
    </w:p>
    <w:p>
      <w:pPr>
        <w:pStyle w:val="9"/>
        <w:numPr>
          <w:ilvl w:val="0"/>
          <w:numId w:val="0"/>
        </w:numPr>
        <w:adjustRightInd w:val="0"/>
        <w:snapToGrid w:val="0"/>
        <w:spacing w:before="183" w:beforeLines="50" w:beforeAutospacing="0" w:afterAutospacing="0" w:line="240" w:lineRule="auto"/>
        <w:ind w:left="120" w:leftChars="50" w:firstLine="0" w:firstLineChars="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公司名称：</w:t>
      </w:r>
    </w:p>
    <w:p>
      <w:pPr>
        <w:pStyle w:val="9"/>
        <w:numPr>
          <w:ilvl w:val="0"/>
          <w:numId w:val="0"/>
        </w:numPr>
        <w:adjustRightInd w:val="0"/>
        <w:snapToGrid w:val="0"/>
        <w:spacing w:before="183" w:beforeLines="50" w:beforeAutospacing="0" w:afterAutospacing="0" w:line="240" w:lineRule="auto"/>
        <w:ind w:left="120" w:leftChars="50" w:firstLine="0" w:firstLineChars="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公章：</w:t>
      </w:r>
    </w:p>
    <w:p>
      <w:pPr>
        <w:pStyle w:val="9"/>
        <w:numPr>
          <w:ilvl w:val="0"/>
          <w:numId w:val="0"/>
        </w:numPr>
        <w:adjustRightInd w:val="0"/>
        <w:snapToGrid w:val="0"/>
        <w:spacing w:before="183" w:beforeLines="50" w:beforeAutospacing="0" w:afterAutospacing="0" w:line="240" w:lineRule="auto"/>
        <w:ind w:left="120" w:leftChars="50" w:firstLine="0" w:firstLineChars="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日期：</w:t>
      </w:r>
    </w:p>
    <w:p>
      <w:pPr>
        <w:pStyle w:val="9"/>
        <w:numPr>
          <w:ilvl w:val="0"/>
          <w:numId w:val="0"/>
        </w:numPr>
        <w:adjustRightInd w:val="0"/>
        <w:snapToGrid w:val="0"/>
        <w:spacing w:before="183" w:beforeLines="50" w:beforeAutospacing="0" w:afterAutospacing="0" w:line="240" w:lineRule="auto"/>
        <w:ind w:left="120" w:leftChars="50" w:firstLine="0" w:firstLineChars="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经办人：</w:t>
      </w:r>
    </w:p>
    <w:p>
      <w:pPr>
        <w:pStyle w:val="9"/>
        <w:numPr>
          <w:ilvl w:val="0"/>
          <w:numId w:val="0"/>
        </w:numPr>
        <w:adjustRightInd w:val="0"/>
        <w:snapToGrid w:val="0"/>
        <w:spacing w:before="183" w:beforeLines="50" w:beforeAutospacing="0" w:afterAutospacing="0" w:line="240" w:lineRule="auto"/>
        <w:ind w:left="120" w:leftChars="50" w:firstLine="0" w:firstLineChars="0"/>
        <w:jc w:val="both"/>
        <w:rPr>
          <w:rFonts w:hint="eastAsia" w:ascii="仿宋" w:hAnsi="仿宋" w:eastAsia="仿宋" w:cs="仿宋"/>
          <w:sz w:val="28"/>
          <w:szCs w:val="28"/>
          <w:lang w:eastAsia="zh-CN"/>
        </w:rPr>
      </w:pPr>
      <w:r>
        <w:rPr>
          <w:rFonts w:hint="eastAsia" w:ascii="仿宋" w:hAnsi="仿宋" w:eastAsia="仿宋" w:cs="仿宋"/>
          <w:kern w:val="0"/>
          <w:sz w:val="28"/>
          <w:szCs w:val="28"/>
          <w:lang w:val="en-US" w:eastAsia="zh-CN"/>
        </w:rPr>
        <w:t>电话：</w:t>
      </w:r>
      <w:r>
        <w:rPr>
          <w:rFonts w:hint="eastAsia" w:ascii="仿宋" w:hAnsi="仿宋" w:eastAsia="仿宋" w:cs="仿宋"/>
          <w:kern w:val="0"/>
          <w:sz w:val="28"/>
          <w:szCs w:val="28"/>
          <w:lang w:eastAsia="zh-CN"/>
        </w:rPr>
        <w:t xml:space="preserve">                            </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1CCE"/>
    <w:multiLevelType w:val="singleLevel"/>
    <w:tmpl w:val="8B331CCE"/>
    <w:lvl w:ilvl="0" w:tentative="0">
      <w:start w:val="1"/>
      <w:numFmt w:val="decimal"/>
      <w:lvlText w:val="%1."/>
      <w:lvlJc w:val="left"/>
      <w:pPr>
        <w:tabs>
          <w:tab w:val="left" w:pos="22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DcxZDBkOWQ5MDdjYWFmMzdmNTM2ZDRkN2E0NDUifQ=="/>
  </w:docVars>
  <w:rsids>
    <w:rsidRoot w:val="008F2D37"/>
    <w:rsid w:val="00114B18"/>
    <w:rsid w:val="001F44FF"/>
    <w:rsid w:val="00430A2C"/>
    <w:rsid w:val="005F3692"/>
    <w:rsid w:val="00807A87"/>
    <w:rsid w:val="008F2D37"/>
    <w:rsid w:val="00911B79"/>
    <w:rsid w:val="00D578D5"/>
    <w:rsid w:val="00E61D87"/>
    <w:rsid w:val="171A4173"/>
    <w:rsid w:val="2BF15E7E"/>
    <w:rsid w:val="3892338C"/>
    <w:rsid w:val="3B80780A"/>
    <w:rsid w:val="64B13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華康中楷體" w:cs="Times New Roman"/>
      <w:kern w:val="2"/>
      <w:sz w:val="24"/>
      <w:szCs w:val="20"/>
      <w:lang w:val="en-US" w:eastAsia="zh-TW" w:bidi="ar-SA"/>
    </w:rPr>
  </w:style>
  <w:style w:type="paragraph" w:styleId="2">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pPr>
    <w:rPr>
      <w:sz w:val="20"/>
    </w:rPr>
  </w:style>
  <w:style w:type="paragraph" w:styleId="4">
    <w:name w:val="header"/>
    <w:basedOn w:val="1"/>
    <w:link w:val="7"/>
    <w:unhideWhenUsed/>
    <w:uiPriority w:val="99"/>
    <w:pPr>
      <w:tabs>
        <w:tab w:val="center" w:pos="4153"/>
        <w:tab w:val="right" w:pos="8306"/>
      </w:tabs>
      <w:snapToGrid w:val="0"/>
    </w:pPr>
    <w:rPr>
      <w:sz w:val="20"/>
    </w:rPr>
  </w:style>
  <w:style w:type="character" w:customStyle="1" w:styleId="7">
    <w:name w:val="頁首 字元"/>
    <w:basedOn w:val="6"/>
    <w:link w:val="4"/>
    <w:uiPriority w:val="99"/>
    <w:rPr>
      <w:sz w:val="20"/>
      <w:szCs w:val="20"/>
    </w:rPr>
  </w:style>
  <w:style w:type="character" w:customStyle="1" w:styleId="8">
    <w:name w:val="頁尾 字元"/>
    <w:basedOn w:val="6"/>
    <w:link w:val="3"/>
    <w:qFormat/>
    <w:uiPriority w:val="99"/>
    <w:rPr>
      <w:sz w:val="20"/>
      <w:szCs w:val="20"/>
    </w:rPr>
  </w:style>
  <w:style w:type="paragraph" w:styleId="9">
    <w:name w:val="List Paragraph"/>
    <w:basedOn w:val="1"/>
    <w:autoRedefine/>
    <w:qFormat/>
    <w:uiPriority w:val="34"/>
    <w:pPr>
      <w:ind w:left="48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644</Words>
  <Characters>669</Characters>
  <Lines>6</Lines>
  <Paragraphs>1</Paragraphs>
  <TotalTime>25</TotalTime>
  <ScaleCrop>false</ScaleCrop>
  <LinksUpToDate>false</LinksUpToDate>
  <CharactersWithSpaces>942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2017-10-18T08:36:00Z</dcterms:created>
  <dc:creator>B50387</dc:creator>
  <cp:lastModifiedBy>阿坤</cp:lastModifiedBy>
  <dcterms:modified xsi:type="dcterms:W3CDTF">2024-05-31T07:40:31Z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74B092E734C642C691F7617819014F08_13</vt:lpwstr>
  </property>
</Properties>
</file>