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before="0" w:beforeLines="0" w:beforeAutospacing="0" w:after="0" w:afterLines="0" w:afterAutospacing="0"/>
        <w:jc w:val="center"/>
        <w:rPr>
          <w:rFonts w:hint="eastAsia" w:cs="Times New Roman"/>
          <w:b/>
          <w:bCs w:val="0"/>
          <w:color w:val="595959" w:themeColor="text1" w:themeTint="A6"/>
          <w:sz w:val="40"/>
          <w:szCs w:val="40"/>
          <w:lang w:val="en-US" w:eastAsia="zh-CN"/>
          <w14:textFill>
            <w14:solidFill>
              <w14:schemeClr w14:val="tx1">
                <w14:lumMod w14:val="65000"/>
                <w14:lumOff w14:val="35000"/>
              </w14:schemeClr>
            </w14:solidFill>
          </w14:textFill>
        </w:rPr>
      </w:pPr>
      <w:r>
        <w:rPr>
          <w:rFonts w:hint="eastAsia" w:cs="Times New Roman"/>
          <w:b/>
          <w:bCs w:val="0"/>
          <w:color w:val="595959" w:themeColor="text1" w:themeTint="A6"/>
          <w:sz w:val="40"/>
          <w:szCs w:val="40"/>
          <w:lang w:val="en-US" w:eastAsia="zh-CN"/>
          <w14:textFill>
            <w14:solidFill>
              <w14:schemeClr w14:val="tx1">
                <w14:lumMod w14:val="65000"/>
                <w14:lumOff w14:val="35000"/>
              </w14:schemeClr>
            </w14:solidFill>
          </w14:textFill>
        </w:rPr>
        <w:t>取消电放提单货物保证函</w:t>
      </w:r>
    </w:p>
    <w:p>
      <w:pPr>
        <w:pStyle w:val="2"/>
        <w:bidi w:val="0"/>
        <w:spacing w:before="0" w:beforeLines="0" w:beforeAutospacing="0" w:after="0" w:afterLines="0" w:afterAutospacing="0"/>
        <w:jc w:val="center"/>
        <w:rPr>
          <w:rFonts w:hint="eastAsia"/>
          <w:b/>
          <w:bCs w:val="0"/>
          <w:color w:val="595959" w:themeColor="text1" w:themeTint="A6"/>
          <w:sz w:val="28"/>
          <w:szCs w:val="28"/>
          <w:lang w:val="en-US" w:eastAsia="zh-CN"/>
          <w14:textFill>
            <w14:solidFill>
              <w14:schemeClr w14:val="tx1">
                <w14:lumMod w14:val="65000"/>
                <w14:lumOff w14:val="35000"/>
              </w14:schemeClr>
            </w14:solidFill>
          </w14:textFill>
        </w:rPr>
      </w:pPr>
      <w:r>
        <w:rPr>
          <w:rFonts w:hint="eastAsia"/>
          <w:b/>
          <w:bCs w:val="0"/>
          <w:color w:val="595959" w:themeColor="text1" w:themeTint="A6"/>
          <w:sz w:val="28"/>
          <w:szCs w:val="28"/>
          <w:lang w:val="en-US" w:eastAsia="zh-CN"/>
          <w14:textFill>
            <w14:solidFill>
              <w14:schemeClr w14:val="tx1">
                <w14:lumMod w14:val="65000"/>
                <w14:lumOff w14:val="35000"/>
              </w14:schemeClr>
            </w14:solidFill>
          </w14:textFill>
        </w:rPr>
        <w:t>L/G for cancel Telex released</w:t>
      </w:r>
    </w:p>
    <w:p>
      <w:pPr>
        <w:rPr>
          <w:rFonts w:hint="eastAsia"/>
          <w:lang w:val="en-US" w:eastAsia="zh-CN"/>
        </w:rPr>
      </w:pPr>
      <w:bookmarkStart w:id="0" w:name="_GoBack"/>
      <w:bookmarkEnd w:id="0"/>
    </w:p>
    <w:p>
      <w:pPr>
        <w:snapToGrid w:val="0"/>
        <w:spacing w:line="24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 xml:space="preserve">TO: </w:t>
      </w:r>
      <w:r>
        <w:rPr>
          <w:rFonts w:hint="eastAsia" w:ascii="仿宋" w:hAnsi="仿宋" w:eastAsia="仿宋" w:cs="仿宋"/>
          <w:b/>
          <w:bCs/>
          <w:sz w:val="28"/>
          <w:szCs w:val="28"/>
          <w:lang w:val="en-US" w:eastAsia="zh-CN"/>
        </w:rPr>
        <w:t>迅腾船务（青岛）有限公司</w:t>
      </w:r>
    </w:p>
    <w:p>
      <w:pPr>
        <w:snapToGrid w:val="0"/>
        <w:spacing w:line="240" w:lineRule="auto"/>
        <w:rPr>
          <w:rFonts w:hint="eastAsia" w:ascii="仿宋" w:hAnsi="仿宋" w:eastAsia="仿宋" w:cs="仿宋"/>
          <w:b/>
          <w:bCs/>
          <w:sz w:val="28"/>
          <w:szCs w:val="28"/>
          <w:lang w:eastAsia="zh-CN"/>
        </w:rPr>
      </w:pP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船名/航次: </w:t>
      </w:r>
    </w:p>
    <w:p>
      <w:pPr>
        <w:snapToGrid w:val="0"/>
        <w:spacing w:line="24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订舱号:</w:t>
      </w: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提单号: </w:t>
      </w: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柜号： </w:t>
      </w: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收货人: </w:t>
      </w: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目的港: </w:t>
      </w:r>
    </w:p>
    <w:p>
      <w:pPr>
        <w:rPr>
          <w:rFonts w:hint="eastAsia" w:ascii="宋体" w:hAnsi="宋体" w:eastAsia="宋体" w:cs="宋体"/>
          <w:b w:val="0"/>
          <w:bCs w:val="0"/>
          <w:color w:val="000000"/>
          <w:kern w:val="1"/>
          <w:sz w:val="24"/>
          <w:szCs w:val="24"/>
        </w:rPr>
      </w:pPr>
    </w:p>
    <w:p>
      <w:pPr>
        <w:pStyle w:val="9"/>
        <w:numPr>
          <w:ilvl w:val="0"/>
          <w:numId w:val="0"/>
        </w:numPr>
        <w:adjustRightInd w:val="0"/>
        <w:snapToGrid w:val="0"/>
        <w:spacing w:before="183" w:beforeLines="50" w:beforeAutospacing="0" w:afterAutospacing="0" w:line="240" w:lineRule="auto"/>
        <w:ind w:left="0" w:leftChars="0" w:firstLine="453" w:firstLineChars="162"/>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我公司作为题述提单的托运人/代理人於</w:t>
      </w:r>
      <w:r>
        <w:rPr>
          <w:rFonts w:hint="eastAsia" w:ascii="仿宋" w:hAnsi="仿宋" w:eastAsia="仿宋" w:cs="仿宋"/>
          <w:kern w:val="0"/>
          <w:sz w:val="28"/>
          <w:szCs w:val="28"/>
          <w:u w:val="single"/>
          <w:lang w:eastAsia="zh-CN"/>
        </w:rPr>
        <w:t xml:space="preserve">       </w:t>
      </w:r>
      <w:r>
        <w:rPr>
          <w:rFonts w:hint="eastAsia" w:ascii="仿宋" w:hAnsi="仿宋" w:eastAsia="仿宋" w:cs="仿宋"/>
          <w:kern w:val="0"/>
          <w:sz w:val="28"/>
          <w:szCs w:val="28"/>
          <w:lang w:eastAsia="zh-CN"/>
        </w:rPr>
        <w:t>年</w:t>
      </w:r>
      <w:r>
        <w:rPr>
          <w:rFonts w:hint="eastAsia" w:ascii="仿宋" w:hAnsi="仿宋" w:eastAsia="仿宋" w:cs="仿宋"/>
          <w:kern w:val="0"/>
          <w:sz w:val="28"/>
          <w:szCs w:val="28"/>
          <w:u w:val="single"/>
          <w:lang w:eastAsia="zh-CN"/>
        </w:rPr>
        <w:t xml:space="preserve">    </w:t>
      </w:r>
      <w:r>
        <w:rPr>
          <w:rFonts w:hint="eastAsia" w:ascii="仿宋" w:hAnsi="仿宋" w:eastAsia="仿宋" w:cs="仿宋"/>
          <w:kern w:val="0"/>
          <w:sz w:val="28"/>
          <w:szCs w:val="28"/>
          <w:lang w:eastAsia="zh-CN"/>
        </w:rPr>
        <w:t>月</w:t>
      </w:r>
      <w:r>
        <w:rPr>
          <w:rFonts w:hint="eastAsia" w:ascii="仿宋" w:hAnsi="仿宋" w:eastAsia="仿宋" w:cs="仿宋"/>
          <w:kern w:val="0"/>
          <w:sz w:val="28"/>
          <w:szCs w:val="28"/>
          <w:u w:val="single"/>
          <w:lang w:eastAsia="zh-CN"/>
        </w:rPr>
        <w:t xml:space="preserve">    </w:t>
      </w:r>
      <w:r>
        <w:rPr>
          <w:rFonts w:hint="eastAsia" w:ascii="仿宋" w:hAnsi="仿宋" w:eastAsia="仿宋" w:cs="仿宋"/>
          <w:kern w:val="0"/>
          <w:sz w:val="28"/>
          <w:szCs w:val="28"/>
          <w:lang w:eastAsia="zh-CN"/>
        </w:rPr>
        <w:t>日提交《电放保函》给贵司申请电放，现因故要需取消电放，为此谨向贵公司作出如下确认、承诺和保证：</w:t>
      </w:r>
    </w:p>
    <w:p>
      <w:pPr>
        <w:pStyle w:val="9"/>
        <w:numPr>
          <w:ilvl w:val="0"/>
          <w:numId w:val="0"/>
        </w:numPr>
        <w:adjustRightInd w:val="0"/>
        <w:snapToGrid w:val="0"/>
        <w:spacing w:before="183" w:beforeLines="50" w:beforeAutospacing="0" w:afterAutospacing="0" w:line="240" w:lineRule="auto"/>
        <w:ind w:left="0" w:leftChars="0" w:firstLine="453" w:firstLineChars="162"/>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凡发生因我公司取消电放或延期电放题述提单造成货物在卸货港无人提领、收货人拒绝提领、逾期提领或所涉货物侵权或质量瑕疵等情形而被拍卖、销毁或退运的，我公司愿意承担由此给贵公司造成的全部损失，包括不限于装卸费、仓储费、货物处置费、退运海运费、律师费以及按贵公司在当地公布的标准费率所应支付的集装箱超期使用费。我公司在此特别确认，我公司已知悉前述标准费率，而且集装箱超期使用费不是违约金，不得以集装箱的价值作为其限额。</w:t>
      </w:r>
    </w:p>
    <w:p>
      <w:pPr>
        <w:rPr>
          <w:rFonts w:ascii="宋体" w:hAnsi="宋体" w:cs="宋体"/>
          <w:kern w:val="1"/>
          <w:szCs w:val="21"/>
        </w:rPr>
      </w:pPr>
    </w:p>
    <w:p>
      <w:pPr>
        <w:pStyle w:val="9"/>
        <w:numPr>
          <w:ilvl w:val="0"/>
          <w:numId w:val="0"/>
        </w:numPr>
        <w:adjustRightInd w:val="0"/>
        <w:snapToGrid w:val="0"/>
        <w:spacing w:before="183" w:beforeLines="50" w:beforeAutospacing="0" w:afterAutospacing="0" w:line="360" w:lineRule="auto"/>
        <w:ind w:left="0" w:leftChars="0" w:firstLine="453" w:firstLineChars="162"/>
        <w:jc w:val="both"/>
        <w:rPr>
          <w:rFonts w:hint="eastAsia" w:ascii="仿宋" w:hAnsi="仿宋" w:eastAsia="仿宋" w:cs="仿宋"/>
          <w:kern w:val="0"/>
          <w:sz w:val="28"/>
          <w:szCs w:val="28"/>
          <w:lang w:eastAsia="zh-CN"/>
        </w:rPr>
      </w:pPr>
    </w:p>
    <w:p>
      <w:pPr>
        <w:snapToGrid w:val="0"/>
        <w:spacing w:line="240" w:lineRule="auto"/>
        <w:rPr>
          <w:rFonts w:hint="eastAsia" w:ascii="仿宋" w:hAnsi="仿宋" w:eastAsia="仿宋" w:cs="仿宋"/>
          <w:b/>
          <w:bCs/>
          <w:sz w:val="28"/>
          <w:szCs w:val="28"/>
          <w:lang w:eastAsia="zh-CN"/>
        </w:rPr>
      </w:pPr>
    </w:p>
    <w:p>
      <w:pPr>
        <w:pStyle w:val="9"/>
        <w:numPr>
          <w:ilvl w:val="0"/>
          <w:numId w:val="0"/>
        </w:numPr>
        <w:adjustRightInd w:val="0"/>
        <w:snapToGrid w:val="0"/>
        <w:spacing w:beforeAutospacing="0" w:afterAutospacing="0" w:line="240" w:lineRule="auto"/>
        <w:ind w:leftChars="0" w:firstLine="4760" w:firstLineChars="17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 xml:space="preserve">公司: </w:t>
      </w:r>
    </w:p>
    <w:p>
      <w:pPr>
        <w:pStyle w:val="9"/>
        <w:numPr>
          <w:ilvl w:val="0"/>
          <w:numId w:val="0"/>
        </w:numPr>
        <w:adjustRightInd w:val="0"/>
        <w:snapToGrid w:val="0"/>
        <w:spacing w:beforeAutospacing="0" w:afterAutospacing="0" w:line="240" w:lineRule="auto"/>
        <w:ind w:leftChars="0" w:firstLine="4760" w:firstLineChars="17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日期:</w:t>
      </w:r>
    </w:p>
    <w:p>
      <w:pPr>
        <w:pStyle w:val="9"/>
        <w:numPr>
          <w:ilvl w:val="0"/>
          <w:numId w:val="0"/>
        </w:numPr>
        <w:adjustRightInd w:val="0"/>
        <w:snapToGrid w:val="0"/>
        <w:spacing w:beforeAutospacing="0" w:afterAutospacing="0" w:line="240" w:lineRule="auto"/>
        <w:ind w:leftChars="0" w:firstLine="4760" w:firstLineChars="17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请加盖贵司公章：</w:t>
      </w:r>
    </w:p>
    <w:p>
      <w:pPr>
        <w:pStyle w:val="9"/>
        <w:numPr>
          <w:ilvl w:val="0"/>
          <w:numId w:val="0"/>
        </w:numPr>
        <w:adjustRightInd w:val="0"/>
        <w:snapToGrid w:val="0"/>
        <w:spacing w:before="183" w:beforeLines="50" w:beforeAutospacing="0" w:afterAutospacing="0" w:line="240" w:lineRule="auto"/>
        <w:ind w:leftChars="0"/>
        <w:jc w:val="both"/>
        <w:rPr>
          <w:rFonts w:hint="eastAsia" w:ascii="仿宋" w:hAnsi="仿宋" w:eastAsia="仿宋" w:cs="仿宋"/>
          <w:kern w:val="0"/>
          <w:sz w:val="28"/>
          <w:szCs w:val="28"/>
          <w:lang w:val="en-US" w:eastAsia="zh-CN"/>
        </w:rPr>
      </w:pP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華康中楷體">
    <w:altName w:val="Microsoft JhengHei"/>
    <w:panose1 w:val="00000000000000000000"/>
    <w:charset w:val="88"/>
    <w:family w:val="modern"/>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NDcxZDBkOWQ5MDdjYWFmMzdmNTM2ZDRkN2E0NDUifQ=="/>
  </w:docVars>
  <w:rsids>
    <w:rsidRoot w:val="008F2D37"/>
    <w:rsid w:val="00114B18"/>
    <w:rsid w:val="001F44FF"/>
    <w:rsid w:val="00430A2C"/>
    <w:rsid w:val="005F3692"/>
    <w:rsid w:val="00807A87"/>
    <w:rsid w:val="008F2D37"/>
    <w:rsid w:val="00911B79"/>
    <w:rsid w:val="00D578D5"/>
    <w:rsid w:val="00E61D87"/>
    <w:rsid w:val="10C3028B"/>
    <w:rsid w:val="171A4173"/>
    <w:rsid w:val="19376A6C"/>
    <w:rsid w:val="2BF15E7E"/>
    <w:rsid w:val="30E1593E"/>
    <w:rsid w:val="31D4300F"/>
    <w:rsid w:val="324C0413"/>
    <w:rsid w:val="3B80780A"/>
    <w:rsid w:val="3D7A0FEB"/>
    <w:rsid w:val="51773F34"/>
    <w:rsid w:val="69117139"/>
    <w:rsid w:val="69145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華康中楷體" w:cs="Times New Roman"/>
      <w:kern w:val="2"/>
      <w:sz w:val="24"/>
      <w:szCs w:val="20"/>
      <w:lang w:val="en-US" w:eastAsia="zh-TW" w:bidi="ar-SA"/>
    </w:rPr>
  </w:style>
  <w:style w:type="paragraph" w:styleId="2">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snapToGrid w:val="0"/>
    </w:pPr>
    <w:rPr>
      <w:sz w:val="20"/>
    </w:rPr>
  </w:style>
  <w:style w:type="paragraph" w:styleId="4">
    <w:name w:val="header"/>
    <w:basedOn w:val="1"/>
    <w:link w:val="7"/>
    <w:autoRedefine/>
    <w:unhideWhenUsed/>
    <w:qFormat/>
    <w:uiPriority w:val="99"/>
    <w:pPr>
      <w:tabs>
        <w:tab w:val="center" w:pos="4153"/>
        <w:tab w:val="right" w:pos="8306"/>
      </w:tabs>
      <w:snapToGrid w:val="0"/>
    </w:pPr>
    <w:rPr>
      <w:sz w:val="20"/>
    </w:rPr>
  </w:style>
  <w:style w:type="character" w:customStyle="1" w:styleId="7">
    <w:name w:val="頁首 字元"/>
    <w:basedOn w:val="6"/>
    <w:link w:val="4"/>
    <w:autoRedefine/>
    <w:qFormat/>
    <w:uiPriority w:val="99"/>
    <w:rPr>
      <w:sz w:val="20"/>
      <w:szCs w:val="20"/>
    </w:rPr>
  </w:style>
  <w:style w:type="character" w:customStyle="1" w:styleId="8">
    <w:name w:val="頁尾 字元"/>
    <w:basedOn w:val="6"/>
    <w:link w:val="3"/>
    <w:autoRedefine/>
    <w:qFormat/>
    <w:uiPriority w:val="99"/>
    <w:rPr>
      <w:sz w:val="20"/>
      <w:szCs w:val="20"/>
    </w:rPr>
  </w:style>
  <w:style w:type="paragraph" w:styleId="9">
    <w:name w:val="List Paragraph"/>
    <w:basedOn w:val="1"/>
    <w:autoRedefine/>
    <w:qFormat/>
    <w:uiPriority w:val="34"/>
    <w:pPr>
      <w:ind w:left="48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644</Words>
  <Characters>669</Characters>
  <Lines>6</Lines>
  <Paragraphs>1</Paragraphs>
  <TotalTime>0</TotalTime>
  <ScaleCrop>false</ScaleCrop>
  <LinksUpToDate>false</LinksUpToDate>
  <CharactersWithSpaces>942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2017-10-18T08:36:00Z</dcterms:created>
  <dc:creator>B50387</dc:creator>
  <cp:lastModifiedBy>阿坤</cp:lastModifiedBy>
  <dcterms:modified xsi:type="dcterms:W3CDTF">2024-05-31T07:43:32Z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83FD5CE8111047C6BE64DA08D758ABE5_13</vt:lpwstr>
  </property>
</Properties>
</file>